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"/>
        <w:rPr>
          <w:rFonts w:ascii="Times New Roman" w:eastAsia="Times New Roman"/>
        </w:rPr>
      </w:pPr>
      <w:r>
        <w:rPr>
          <w:rFonts w:hint="eastAsia" w:ascii="Arial Unicode MS" w:eastAsia="Arial Unicode MS"/>
          <w:spacing w:val="-4"/>
        </w:rPr>
        <w:t xml:space="preserve">附件 </w:t>
      </w:r>
      <w:r>
        <w:rPr>
          <w:rFonts w:ascii="Times New Roman" w:eastAsia="Times New Roman"/>
          <w:spacing w:val="-19"/>
        </w:rPr>
        <w:t>1</w:t>
      </w:r>
    </w:p>
    <w:p>
      <w:pPr>
        <w:jc w:val="center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 xml:space="preserve">盐城幼儿师范高等专科学校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 xml:space="preserve"> 年公开招聘高层次人才岗位表</w:t>
      </w:r>
      <w:bookmarkEnd w:id="0"/>
    </w:p>
    <w:tbl>
      <w:tblPr>
        <w:tblStyle w:val="3"/>
        <w:tblW w:w="161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647"/>
        <w:gridCol w:w="860"/>
        <w:gridCol w:w="1176"/>
        <w:gridCol w:w="688"/>
        <w:gridCol w:w="3125"/>
        <w:gridCol w:w="672"/>
        <w:gridCol w:w="781"/>
        <w:gridCol w:w="1224"/>
        <w:gridCol w:w="3635"/>
        <w:gridCol w:w="1969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50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989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开考比例</w:t>
            </w:r>
          </w:p>
        </w:tc>
        <w:tc>
          <w:tcPr>
            <w:tcW w:w="7656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tblHeader/>
          <w:jc w:val="center"/>
        </w:trPr>
        <w:tc>
          <w:tcPr>
            <w:tcW w:w="54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岗位编制性质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招聘对象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从事学校大学生思想政治理论课教学、科研及学科建设工作。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马克思主义哲学、中共党史（含：党的学说与党的建设）、马克思主义理论、马克思主义基本原理、马克思主义发展史，马克思主义中国化研究、国外马克思主义研究、思想政治教育、中国近现代史基本问题研究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02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思政课教师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从事学校大学生思想政治理论课教学、科研及学科建设工作。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马克思主义哲学、中共党史（含：党的学说与党的建设）、马克思主义理论、马克思主义基本原理、马克思主义发展史，马克思主义中国化研究、国外马克思主义研究、思想政治教育、中国近现代史基本问题研究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宋体" w:hAnsi="宋体" w:eastAsia="宋体" w:cs="宋体"/>
                <w:sz w:val="21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03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从事计算机技术应用、智能产品应用与开发、大数据技术、移动应用开发等专业课程教学、科研及专业建设工作。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04</w:t>
            </w:r>
          </w:p>
        </w:tc>
        <w:tc>
          <w:tcPr>
            <w:tcW w:w="64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计算机教师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从事计算机技术应用、智能产品应用与开发、大数据技术、移动应用开发等专业课程教学、科研及专业建设工作。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宋体" w:hAnsi="宋体" w:eastAsia="宋体" w:cs="宋体"/>
                <w:sz w:val="21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05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旅游管理教师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从事旅游管理、酒店管理等专业课程教学、科研及专业建设工作。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1"/>
                <w:lang w:val="en-US" w:eastAsia="zh-CN"/>
              </w:rPr>
              <w:t>①</w:t>
            </w:r>
            <w:r>
              <w:rPr>
                <w:rFonts w:hint="eastAsia" w:ascii="宋体" w:hAnsi="宋体" w:eastAsia="宋体" w:cs="宋体"/>
                <w:sz w:val="20"/>
                <w:szCs w:val="21"/>
              </w:rPr>
              <w:t>45周岁及以下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highlight w:val="none"/>
                <w:u w:val="none"/>
                <w:lang w:val="en-US" w:eastAsia="zh-CN"/>
              </w:rPr>
              <w:t>②本科阶段专业为旅游管理、酒店管理、旅游管理与服务教育、地理科学、自然地理与资源环境、人文地理与城乡规划、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地理信息科学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06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从事体育类专业课程教学、科研及专业建设工作。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体育人文社会学、运动人体科学、体育教育训练学、民族传统体育学、体育学、体育教学、体育、社会体育指导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07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运动保健康复教师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从事体育保健与康复专业课程教学科研及专业建设工作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运动医学、康复医学与理疗学、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运动康复学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08</w:t>
            </w:r>
          </w:p>
        </w:tc>
        <w:tc>
          <w:tcPr>
            <w:tcW w:w="64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心理学教师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从事心理学方面的教学、科研及心理健康中心的建设工作。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基础心理学、发展与教育心理学、应用心理学、心理学、心理健康教育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45周岁及以下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09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从事教育学相关课程的教学科研工作及小学教育专业建设工作。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研究生学历，具有相应博士学位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教育学原理、教育学、课程与教学论、比较教育学、教育管理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45周岁及以下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盐城幼儿师范高等专科学校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有管理经验，担任二级学院业务副院长；负责建筑类专业课教学、课程建设、科研等相关工作。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建筑工程类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宋体" w:hAnsi="宋体" w:eastAsia="宋体" w:cs="宋体"/>
                <w:sz w:val="21"/>
                <w:highlight w:val="none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合唱指挥教师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从事音乐教育、音乐表演等专业课程教学工作，承担合唱教学、训练及演出工作。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音乐、音乐学、指挥表演艺术、指挥艺术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45周岁及以下</w:t>
            </w:r>
            <w:r>
              <w:rPr>
                <w:rFonts w:hint="eastAsia" w:ascii="宋体" w:hAnsi="宋体" w:eastAsia="宋体" w:cs="宋体"/>
                <w:sz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具有副高级及以上专业技术职称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647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音乐教师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有管理经验，担任二级学院业务副院长；负责音乐教育、音乐表演等专业课教学、课程建设、科研等相关工作。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音乐、音乐学、音乐表演、音乐教育、作曲技术理论、作曲与作曲技术理论、作曲、声乐表演艺术、管弦乐表演艺术、民族器乐表演艺术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宋体" w:hAnsi="宋体" w:eastAsia="宋体" w:cs="宋体"/>
                <w:sz w:val="21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6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健康管理教师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从事智慧健康养老服务与管理等专业课程教学、科研及专业建设工作。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1：1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大学本科及以上学历，具有相应学士及以上学位</w:t>
            </w:r>
          </w:p>
        </w:tc>
        <w:tc>
          <w:tcPr>
            <w:tcW w:w="3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50周岁</w:t>
            </w:r>
            <w:r>
              <w:rPr>
                <w:rFonts w:hint="eastAsia" w:ascii="宋体" w:hAnsi="宋体" w:eastAsia="宋体" w:cs="宋体"/>
                <w:sz w:val="21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以下，具有正高级专业技术职称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不限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14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专业参考目录为： 《江苏省2024年考试录用公务员专业参考目录》，专业条件中还包括部分未列入专业参考目录，但有院校开设，并且单位需要的专业。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34A4A"/>
    <w:rsid w:val="279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2024-09-27T08:41:00Z</dcterms:created>
  <dc:creator>plum</dc:creator>
  <cp:lastModifiedBy>plum</cp:lastModifiedBy>
  <dcterms:modified xsi:type="dcterms:W3CDTF">2024-09-27T08:43:16Z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EDB5064744644C84924535C6F3962BCC</vt:lpwstr>
  </property>
</Properties>
</file>